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4A6E2A" w:rsidRDefault="004A6E2A" w:rsidP="004A6E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4A6E2A" w:rsidRDefault="00AF323B" w:rsidP="004A6E2A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31 января 2025</w:t>
      </w:r>
      <w:r w:rsidR="004A6E2A">
        <w:rPr>
          <w:rFonts w:ascii="PT Astra Serif" w:hAnsi="PT Astra Serif"/>
          <w:sz w:val="28"/>
          <w:szCs w:val="28"/>
        </w:rPr>
        <w:t xml:space="preserve"> г.</w:t>
      </w:r>
      <w:r w:rsidR="004A6E2A">
        <w:rPr>
          <w:rFonts w:ascii="PT Astra Serif" w:hAnsi="PT Astra Serif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6</w:t>
      </w:r>
    </w:p>
    <w:p w:rsidR="004A6E2A" w:rsidRDefault="004A6E2A" w:rsidP="004A6E2A">
      <w:pPr>
        <w:pStyle w:val="a8"/>
        <w:shd w:val="clear" w:color="auto" w:fill="auto"/>
        <w:spacing w:line="240" w:lineRule="auto"/>
        <w:jc w:val="center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 xml:space="preserve">                                           </w:t>
      </w: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Об утверждении реестра муниципальных услуг </w:t>
      </w: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администрации муниципального образования </w:t>
      </w: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Урено-Карлинское сельское поселение </w:t>
      </w: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Карсунского района </w:t>
      </w:r>
      <w:r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4A6E2A" w:rsidRDefault="004A6E2A" w:rsidP="004A6E2A">
      <w:pPr>
        <w:ind w:firstLine="708"/>
        <w:jc w:val="both"/>
        <w:rPr>
          <w:rStyle w:val="FontStyle62"/>
          <w:rFonts w:ascii="PT Astra Serif" w:hAnsi="PT Astra Serif"/>
          <w:bCs/>
          <w:sz w:val="28"/>
          <w:szCs w:val="28"/>
        </w:rPr>
      </w:pPr>
      <w:r>
        <w:rPr>
          <w:rStyle w:val="FontStyle62"/>
          <w:rFonts w:ascii="PT Astra Serif" w:hAnsi="PT Astra Serif"/>
          <w:bCs/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населению, 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38 Устава                         муниципального образования Урено-Карлинское сельское поселение,                                 администрация </w:t>
      </w:r>
      <w:proofErr w:type="gramStart"/>
      <w:r>
        <w:rPr>
          <w:rStyle w:val="FontStyle62"/>
          <w:rFonts w:ascii="PT Astra Serif" w:hAnsi="PT Astra Serif"/>
          <w:bCs/>
          <w:sz w:val="28"/>
          <w:szCs w:val="28"/>
        </w:rPr>
        <w:t>п</w:t>
      </w:r>
      <w:proofErr w:type="gramEnd"/>
      <w:r>
        <w:rPr>
          <w:rStyle w:val="FontStyle62"/>
          <w:rFonts w:ascii="PT Astra Serif" w:hAnsi="PT Astra Serif"/>
          <w:bCs/>
          <w:sz w:val="28"/>
          <w:szCs w:val="28"/>
        </w:rPr>
        <w:t xml:space="preserve"> о с т а н </w:t>
      </w:r>
      <w:proofErr w:type="gramStart"/>
      <w:r>
        <w:rPr>
          <w:rStyle w:val="FontStyle62"/>
          <w:rFonts w:ascii="PT Astra Serif" w:hAnsi="PT Astra Serif"/>
          <w:bCs/>
          <w:sz w:val="28"/>
          <w:szCs w:val="28"/>
        </w:rPr>
        <w:t>о</w:t>
      </w:r>
      <w:proofErr w:type="gramEnd"/>
      <w:r>
        <w:rPr>
          <w:rStyle w:val="FontStyle62"/>
          <w:rFonts w:ascii="PT Astra Serif" w:hAnsi="PT Astra Serif"/>
          <w:bCs/>
          <w:sz w:val="28"/>
          <w:szCs w:val="28"/>
        </w:rPr>
        <w:t xml:space="preserve"> в л я е т: </w:t>
      </w:r>
    </w:p>
    <w:p w:rsidR="004A6E2A" w:rsidRDefault="004A6E2A" w:rsidP="004A6E2A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1. Утвердить прилагаемый реестр муниципальных услуг администрации муниципального образования </w:t>
      </w:r>
      <w:r>
        <w:rPr>
          <w:rStyle w:val="FontStyle62"/>
          <w:rFonts w:ascii="PT Astra Serif" w:hAnsi="PT Astra Serif"/>
          <w:bCs/>
          <w:sz w:val="28"/>
          <w:szCs w:val="28"/>
        </w:rPr>
        <w:t>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 Карсунского района Ульяновской области.</w:t>
      </w:r>
    </w:p>
    <w:p w:rsidR="004A6E2A" w:rsidRDefault="004A6E2A" w:rsidP="004A6E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Постановление администрации муниципального образования </w:t>
      </w:r>
      <w:r>
        <w:rPr>
          <w:rStyle w:val="FontStyle62"/>
          <w:rFonts w:ascii="PT Astra Serif" w:hAnsi="PT Astra Serif"/>
          <w:bCs/>
          <w:sz w:val="28"/>
          <w:szCs w:val="28"/>
        </w:rPr>
        <w:t>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 Карсунского района У</w:t>
      </w:r>
      <w:r w:rsidR="00AF323B">
        <w:rPr>
          <w:rFonts w:ascii="PT Astra Serif" w:hAnsi="PT Astra Serif"/>
          <w:sz w:val="28"/>
          <w:szCs w:val="28"/>
        </w:rPr>
        <w:t>льяновской области от 16.09.2020 № 54</w:t>
      </w:r>
      <w:r>
        <w:rPr>
          <w:rFonts w:ascii="PT Astra Serif" w:hAnsi="PT Astra Serif"/>
          <w:sz w:val="28"/>
          <w:szCs w:val="28"/>
        </w:rPr>
        <w:t xml:space="preserve"> «Об утверждении реестра муниципальных услуг, предоставляемых физическим и юридическим лицам в муниципальном образовании </w:t>
      </w:r>
      <w:r>
        <w:rPr>
          <w:rStyle w:val="FontStyle62"/>
          <w:rFonts w:ascii="PT Astra Serif" w:hAnsi="PT Astra Serif"/>
          <w:bCs/>
          <w:sz w:val="28"/>
          <w:szCs w:val="28"/>
        </w:rPr>
        <w:t>Урено-Карлинское сельское поселение</w:t>
      </w:r>
      <w:r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4A6E2A" w:rsidRDefault="004A6E2A" w:rsidP="004A6E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подлежит обнародованию.</w:t>
      </w:r>
    </w:p>
    <w:p w:rsidR="004A6E2A" w:rsidRDefault="004A6E2A" w:rsidP="004A6E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</w:t>
      </w:r>
      <w:r>
        <w:rPr>
          <w:rFonts w:ascii="PT Astra Serif" w:hAnsi="PT Astra Serif"/>
          <w:sz w:val="28"/>
          <w:szCs w:val="28"/>
        </w:rPr>
        <w:softHyphen/>
        <w:t>бой.</w:t>
      </w:r>
    </w:p>
    <w:p w:rsidR="004A6E2A" w:rsidRDefault="004A6E2A" w:rsidP="004A6E2A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4A6E2A" w:rsidRDefault="004A6E2A" w:rsidP="004A6E2A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4A6E2A" w:rsidRDefault="004A6E2A" w:rsidP="004A6E2A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4A6E2A" w:rsidRDefault="007B7D76" w:rsidP="004A6E2A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И.о.Главы</w:t>
      </w:r>
      <w:bookmarkStart w:id="0" w:name="_GoBack"/>
      <w:bookmarkEnd w:id="0"/>
      <w:r w:rsidR="004A6E2A"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</w:t>
      </w:r>
    </w:p>
    <w:p w:rsidR="004A6E2A" w:rsidRDefault="004A6E2A" w:rsidP="004A6E2A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</w:t>
      </w:r>
      <w:r w:rsidR="00AF323B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proofErr w:type="spellStart"/>
      <w:r w:rsidR="00AF323B"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4A6E2A" w:rsidRDefault="004A6E2A" w:rsidP="004A6E2A">
      <w:pPr>
        <w:pStyle w:val="2"/>
        <w:spacing w:after="0" w:line="240" w:lineRule="auto"/>
        <w:ind w:left="4962" w:right="-9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4A6E2A" w:rsidRDefault="004A6E2A" w:rsidP="004A6E2A">
      <w:pPr>
        <w:pStyle w:val="2"/>
        <w:spacing w:after="0" w:line="240" w:lineRule="auto"/>
        <w:ind w:left="4962" w:right="-99" w:firstLine="6237"/>
        <w:jc w:val="center"/>
        <w:rPr>
          <w:rFonts w:ascii="PT Astra Serif" w:hAnsi="PT Astra Serif"/>
          <w:sz w:val="28"/>
          <w:szCs w:val="28"/>
        </w:rPr>
      </w:pPr>
    </w:p>
    <w:p w:rsidR="004A6E2A" w:rsidRDefault="004A6E2A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A6E2A" w:rsidRDefault="004A6E2A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6E2A" w:rsidRDefault="004A6E2A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4A6E2A" w:rsidRDefault="004A6E2A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4A6E2A" w:rsidRDefault="004A6E2A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4A6E2A" w:rsidRDefault="00AF323B" w:rsidP="004A6E2A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31.01.2025 № 6</w:t>
      </w:r>
    </w:p>
    <w:p w:rsidR="004A6E2A" w:rsidRDefault="004A6E2A" w:rsidP="004A6E2A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Реестр муниципальных услуг </w:t>
      </w:r>
    </w:p>
    <w:p w:rsidR="004A6E2A" w:rsidRDefault="004A6E2A" w:rsidP="004A6E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администрации муниципального образования Урено-Карлинское сельское поселение Карсунского района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A6E2A" w:rsidRDefault="004A6E2A" w:rsidP="004A6E2A">
      <w:pPr>
        <w:jc w:val="center"/>
        <w:rPr>
          <w:rFonts w:ascii="PT Astra Serif" w:hAnsi="PT Astra Serif"/>
          <w:sz w:val="28"/>
          <w:szCs w:val="28"/>
        </w:rPr>
      </w:pPr>
    </w:p>
    <w:p w:rsidR="00EF2B82" w:rsidRDefault="00EF2B82" w:rsidP="00EF2B8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EF2B82" w:rsidTr="00B55B90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</w:tr>
    </w:tbl>
    <w:p w:rsidR="00EF2B82" w:rsidRDefault="00EF2B82" w:rsidP="00EF2B82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EF2B82" w:rsidTr="00B55B90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B82" w:rsidRDefault="00EF2B82" w:rsidP="00B55B90">
            <w:pPr>
              <w:pStyle w:val="a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EF2B82" w:rsidRDefault="00EF2B82" w:rsidP="00EF2B82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EF2B82" w:rsidTr="00B55B90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малоимущими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согласия на 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br/>
              <w:t>обмен жилыми помещениями, предоставленными по договорам социального найма</w:t>
            </w: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разрешений на право вырубки зелёных насаждений </w:t>
            </w: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82" w:rsidRPr="00C9253A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Приватизация жилых помещений муниципального жилищного фонда </w:t>
            </w:r>
            <w:r w:rsidRPr="00C9253A">
              <w:rPr>
                <w:rFonts w:ascii="PT Astra Serif" w:hAnsi="PT Astra Serif"/>
                <w:lang w:eastAsia="en-US"/>
              </w:rPr>
              <w:t xml:space="preserve">на </w:t>
            </w:r>
            <w:r>
              <w:rPr>
                <w:rFonts w:ascii="PT Astra Serif" w:hAnsi="PT Astra Serif"/>
              </w:rPr>
              <w:t>основании</w:t>
            </w:r>
            <w:r w:rsidRPr="00C9253A">
              <w:rPr>
                <w:rFonts w:ascii="PT Astra Serif" w:hAnsi="PT Astra Serif"/>
              </w:rPr>
              <w:t xml:space="preserve"> – постановления Правительства Ульяновской области от 13.02.2015 № 35-П «Об утверждении перечней имущества, подлежащего передаче из собственности муниципальных образований </w:t>
            </w:r>
            <w:proofErr w:type="spellStart"/>
            <w:r w:rsidRPr="00C9253A">
              <w:rPr>
                <w:rFonts w:ascii="PT Astra Serif" w:hAnsi="PT Astra Serif"/>
              </w:rPr>
              <w:t>Вальдиватское</w:t>
            </w:r>
            <w:proofErr w:type="spellEnd"/>
            <w:r w:rsidRPr="00C9253A">
              <w:rPr>
                <w:rFonts w:ascii="PT Astra Serif" w:hAnsi="PT Astra Serif"/>
              </w:rPr>
              <w:t xml:space="preserve"> сельское поселение Карсунского района, Сосновское сельское поселение Карсунского района, </w:t>
            </w:r>
            <w:proofErr w:type="spellStart"/>
            <w:r w:rsidRPr="00C9253A">
              <w:rPr>
                <w:rFonts w:ascii="PT Astra Serif" w:hAnsi="PT Astra Serif"/>
              </w:rPr>
              <w:t>Горенское</w:t>
            </w:r>
            <w:proofErr w:type="spellEnd"/>
            <w:r w:rsidRPr="00C9253A">
              <w:rPr>
                <w:rFonts w:ascii="PT Astra Serif" w:hAnsi="PT Astra Serif"/>
              </w:rPr>
              <w:t xml:space="preserve"> сельское поселение Карсунского района, </w:t>
            </w:r>
            <w:proofErr w:type="spellStart"/>
            <w:r w:rsidRPr="00C9253A">
              <w:rPr>
                <w:rFonts w:ascii="PT Astra Serif" w:hAnsi="PT Astra Serif"/>
              </w:rPr>
              <w:t>Новопогореловское</w:t>
            </w:r>
            <w:proofErr w:type="spellEnd"/>
            <w:r w:rsidRPr="00C9253A">
              <w:rPr>
                <w:rFonts w:ascii="PT Astra Serif" w:hAnsi="PT Astra Serif"/>
              </w:rPr>
              <w:t xml:space="preserve"> сельское поселение Карсунского района, </w:t>
            </w:r>
            <w:proofErr w:type="spellStart"/>
            <w:r w:rsidRPr="00C9253A">
              <w:rPr>
                <w:rFonts w:ascii="PT Astra Serif" w:hAnsi="PT Astra Serif"/>
              </w:rPr>
              <w:t>Большепоселковское</w:t>
            </w:r>
            <w:proofErr w:type="spellEnd"/>
            <w:r w:rsidRPr="00C9253A">
              <w:rPr>
                <w:rFonts w:ascii="PT Astra Serif" w:hAnsi="PT Astra Serif"/>
              </w:rPr>
              <w:t xml:space="preserve"> сельское поселение Карсунского района, Урено-Карлинское сельское поселение Карсунского района в собственность муниципального образования «</w:t>
            </w:r>
            <w:proofErr w:type="spellStart"/>
            <w:r w:rsidRPr="00C9253A">
              <w:rPr>
                <w:rFonts w:ascii="PT Astra Serif" w:hAnsi="PT Astra Serif"/>
              </w:rPr>
              <w:t>Карсунский</w:t>
            </w:r>
            <w:proofErr w:type="spellEnd"/>
            <w:proofErr w:type="gramEnd"/>
            <w:r w:rsidRPr="00C9253A">
              <w:rPr>
                <w:rFonts w:ascii="PT Astra Serif" w:hAnsi="PT Astra Serif"/>
              </w:rPr>
              <w:t xml:space="preserve"> район» в процессе разграничения имущества, находящегося в муниципальной собственности, между муниципальными образованиями</w:t>
            </w:r>
          </w:p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EF2B82" w:rsidRDefault="00EF2B82" w:rsidP="00B55B9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выписок об объектах учёта из реестра муниципального имущества</w:t>
            </w:r>
          </w:p>
          <w:p w:rsidR="00EF2B82" w:rsidRDefault="00EF2B82" w:rsidP="00B5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торгов.</w:t>
            </w:r>
          </w:p>
          <w:p w:rsidR="00EF2B82" w:rsidRDefault="00EF2B82" w:rsidP="00B55B9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9.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торгов.</w:t>
            </w:r>
          </w:p>
          <w:p w:rsidR="00EF2B82" w:rsidRDefault="00EF2B82" w:rsidP="00B55B9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10.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аренду без проведения торгов.</w:t>
            </w:r>
          </w:p>
          <w:p w:rsidR="00EF2B82" w:rsidRDefault="00EF2B82" w:rsidP="00B55B9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11.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82" w:rsidRDefault="00EF2B82" w:rsidP="00B5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безвозмездное пользование.</w:t>
            </w:r>
          </w:p>
        </w:tc>
      </w:tr>
      <w:tr w:rsidR="00EF2B82" w:rsidTr="00B55B90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пользование.</w:t>
            </w:r>
          </w:p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F2B82" w:rsidRDefault="00EF2B82" w:rsidP="00B5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      </w:r>
          </w:p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EF2B82" w:rsidTr="00B55B90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EF2B82" w:rsidTr="00B55B90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20.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EF2B82" w:rsidTr="00B55B90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24.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Default="00EF2B82" w:rsidP="00B55B90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EF2B82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44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AB37A8">
              <w:rPr>
                <w:rFonts w:ascii="PT Astra Serif" w:hAnsi="PT Astra Serif"/>
                <w:lang w:eastAsia="en-US"/>
              </w:rPr>
              <w:t>Выдача разрешений на пересадку деревьев и кустарников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6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F2B82" w:rsidTr="00B55B90">
        <w:trPr>
          <w:trHeight w:val="8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108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6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Предоставление разрешения на проведение земляных работ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EF2B82" w:rsidTr="00B55B90">
        <w:trPr>
          <w:trHeight w:val="12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EF2B82" w:rsidRPr="00AB37A8" w:rsidRDefault="00EF2B82" w:rsidP="00B55B90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EF2B82" w:rsidRDefault="00EF2B82" w:rsidP="00EF2B8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EF2B82" w:rsidRDefault="00EF2B82" w:rsidP="00EF2B8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EF2B82" w:rsidRDefault="00EF2B82" w:rsidP="00EF2B82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EF2B82" w:rsidRDefault="00EF2B82" w:rsidP="00EF2B82"/>
    <w:p w:rsidR="00EF2B82" w:rsidRDefault="00EF2B82" w:rsidP="00EF2B82"/>
    <w:p w:rsidR="004A6E2A" w:rsidRDefault="004A6E2A" w:rsidP="004A6E2A">
      <w:pPr>
        <w:jc w:val="center"/>
        <w:rPr>
          <w:rFonts w:ascii="PT Astra Serif" w:hAnsi="PT Astra Serif"/>
          <w:sz w:val="2"/>
          <w:szCs w:val="28"/>
        </w:rPr>
      </w:pPr>
    </w:p>
    <w:p w:rsidR="004A6E2A" w:rsidRDefault="004A6E2A" w:rsidP="004A6E2A">
      <w:pPr>
        <w:pStyle w:val="a3"/>
        <w:rPr>
          <w:rFonts w:ascii="PT Astra Serif" w:hAnsi="PT Astra Serif"/>
        </w:rPr>
      </w:pPr>
    </w:p>
    <w:p w:rsidR="004A6E2A" w:rsidRDefault="004A6E2A" w:rsidP="004A6E2A">
      <w:pPr>
        <w:pStyle w:val="2"/>
        <w:spacing w:after="0" w:line="36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4A6E2A" w:rsidRDefault="004A6E2A" w:rsidP="004A6E2A">
      <w:pPr>
        <w:rPr>
          <w:rFonts w:ascii="PT Astra Serif" w:hAnsi="PT Astra Serif"/>
          <w:color w:val="000000"/>
          <w:sz w:val="28"/>
          <w:szCs w:val="28"/>
        </w:rPr>
      </w:pPr>
    </w:p>
    <w:p w:rsidR="008B34DC" w:rsidRDefault="008B34DC"/>
    <w:sectPr w:rsidR="008B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63"/>
    <w:rsid w:val="004A6E2A"/>
    <w:rsid w:val="007B7D76"/>
    <w:rsid w:val="008B34DC"/>
    <w:rsid w:val="00AF323B"/>
    <w:rsid w:val="00BC4E63"/>
    <w:rsid w:val="00E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6E2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A6E2A"/>
    <w:rPr>
      <w:rFonts w:ascii="Calibri" w:eastAsia="Calibri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A6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6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4A6E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A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4A6E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A6E2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4A6E2A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62">
    <w:name w:val="Font Style62"/>
    <w:uiPriority w:val="99"/>
    <w:rsid w:val="004A6E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4A6E2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6E2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A6E2A"/>
    <w:rPr>
      <w:rFonts w:ascii="Calibri" w:eastAsia="Calibri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A6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6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4A6E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A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4A6E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A6E2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4A6E2A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62">
    <w:name w:val="Font Style62"/>
    <w:uiPriority w:val="99"/>
    <w:rsid w:val="004A6E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4A6E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2025-01-31T05:00:00Z</dcterms:created>
  <dcterms:modified xsi:type="dcterms:W3CDTF">2025-01-31T05:35:00Z</dcterms:modified>
</cp:coreProperties>
</file>